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42FA" w14:textId="53B25617" w:rsidR="003A28AD" w:rsidRPr="00131CDE" w:rsidRDefault="0028647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 poste d'ingénieur ou astronome résident français </w:t>
      </w:r>
      <w:r w:rsidR="00030B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sera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vacant au Télescope Canada-France-</w:t>
      </w:r>
      <w:r w:rsidR="006665C3" w:rsidRPr="006665C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665C3">
        <w:rPr>
          <w:rFonts w:ascii="Times New Roman" w:eastAsia="Times New Roman" w:hAnsi="Times New Roman" w:cs="Times New Roman"/>
          <w:sz w:val="24"/>
          <w:szCs w:val="24"/>
          <w:lang w:val="fr-FR"/>
        </w:rPr>
        <w:t>Hawai</w:t>
      </w:r>
      <w:r w:rsidR="006665C3" w:rsidRPr="00D86555">
        <w:rPr>
          <w:rStyle w:val="Strong"/>
          <w:lang w:val="fr-FR"/>
        </w:rPr>
        <w:t>‘</w:t>
      </w:r>
      <w:r w:rsidR="006665C3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(TCFH)</w:t>
      </w:r>
      <w:r w:rsidR="00030B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en </w:t>
      </w:r>
      <w:r w:rsidR="00030B30" w:rsidRPr="00030B30">
        <w:rPr>
          <w:rFonts w:ascii="Times New Roman" w:eastAsia="Times New Roman" w:hAnsi="Times New Roman" w:cs="Times New Roman"/>
          <w:sz w:val="24"/>
          <w:szCs w:val="24"/>
          <w:lang w:val="fr-FR"/>
        </w:rPr>
        <w:t>20</w:t>
      </w:r>
      <w:r w:rsidR="00030B30">
        <w:rPr>
          <w:rFonts w:ascii="Times New Roman" w:eastAsia="Times New Roman" w:hAnsi="Times New Roman" w:cs="Times New Roman"/>
          <w:sz w:val="24"/>
          <w:szCs w:val="24"/>
          <w:lang w:val="fr-FR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 Le TCFH est un observatoire situé sur la grande île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Hawai</w:t>
      </w:r>
      <w:r w:rsidR="00F753FA" w:rsidRPr="00D86555">
        <w:rPr>
          <w:rStyle w:val="Strong"/>
          <w:lang w:val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(Etats-Unis), basé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Waimea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opérant un télescope de 3.6 m de diamètre situé au sommet 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Maunakea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5667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04E7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TCFH est une unité </w:t>
      </w:r>
      <w:r w:rsidR="008209F3">
        <w:rPr>
          <w:rFonts w:ascii="Times New Roman" w:eastAsia="Times New Roman" w:hAnsi="Times New Roman" w:cs="Times New Roman"/>
          <w:sz w:val="24"/>
          <w:szCs w:val="24"/>
          <w:lang w:val="fr-FR"/>
        </w:rPr>
        <w:t>d’appui et de recherche du CNRS (UAR2208).</w:t>
      </w:r>
    </w:p>
    <w:p w14:paraId="2C00415F" w14:textId="1588CE27" w:rsidR="003A28AD" w:rsidRDefault="0028647E" w:rsidP="00F753F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Maunakea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 une montagne d'une grande importance culturelle et spirituelle pour les natifs Hawa</w:t>
      </w:r>
      <w:r w:rsidR="003757AE">
        <w:rPr>
          <w:rFonts w:ascii="Times New Roman" w:eastAsia="Times New Roman" w:hAnsi="Times New Roman" w:cs="Times New Roman"/>
          <w:sz w:val="24"/>
          <w:szCs w:val="24"/>
          <w:lang w:val="fr-FR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ens. </w:t>
      </w:r>
      <w:r w:rsidR="005D5DCE" w:rsidRPr="005D5D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TCFH reconnaît le privilège qu'il a de mener des observations scientifiques depuis cette montagne emblématique, et s’engage à développer une culture de compréhension et </w:t>
      </w:r>
      <w:r w:rsidR="00A8762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</w:t>
      </w:r>
      <w:r w:rsidR="00CB0CD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pilotage partagé </w:t>
      </w:r>
      <w:r w:rsidR="005D5DCE" w:rsidRPr="005D5DCE">
        <w:rPr>
          <w:rFonts w:ascii="Times New Roman" w:eastAsia="Times New Roman" w:hAnsi="Times New Roman" w:cs="Times New Roman"/>
          <w:sz w:val="24"/>
          <w:szCs w:val="24"/>
          <w:lang w:val="fr-FR"/>
        </w:rPr>
        <w:t>avec la communauté hawaiienne et à promouvoir un modèle d'astronomie communautaire.</w:t>
      </w:r>
    </w:p>
    <w:p w14:paraId="7E7A3DA9" w14:textId="1D1571E8" w:rsidR="00B307DD" w:rsidRDefault="00B307DD" w:rsidP="005841E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La stratégie du CFHT pour les années à venir repose sur les</w:t>
      </w:r>
      <w:r w:rsidR="00B10F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trois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piliers suivants :</w:t>
      </w:r>
    </w:p>
    <w:p w14:paraId="3A38074E" w14:textId="47EB11EC" w:rsidR="00B307DD" w:rsidRDefault="00E5795E" w:rsidP="00E5795E">
      <w:pPr>
        <w:pStyle w:val="ListParagraph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La conduite</w:t>
      </w:r>
      <w:r w:rsidR="001E58F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à partir de 2027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grands relevés</w:t>
      </w:r>
      <w:r w:rsidR="00284BC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communautaires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en imagerie grand champ et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spectropolarimétrie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à haute résolution spectrale et </w:t>
      </w:r>
      <w:r w:rsidR="0049047F">
        <w:rPr>
          <w:rFonts w:ascii="Times New Roman" w:eastAsia="Times New Roman" w:hAnsi="Times New Roman" w:cs="Times New Roman"/>
          <w:sz w:val="24"/>
          <w:szCs w:val="24"/>
          <w:lang w:val="fr-FR"/>
        </w:rPr>
        <w:t>grande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stabilité en vitesse radiale avec </w:t>
      </w:r>
      <w:proofErr w:type="spellStart"/>
      <w:r w:rsidR="00700FCB">
        <w:rPr>
          <w:rFonts w:ascii="Times New Roman" w:eastAsia="Times New Roman" w:hAnsi="Times New Roman" w:cs="Times New Roman"/>
          <w:sz w:val="24"/>
          <w:szCs w:val="24"/>
          <w:lang w:val="fr-FR"/>
        </w:rPr>
        <w:t>MegaCam</w:t>
      </w:r>
      <w:proofErr w:type="spellEnd"/>
      <w:r w:rsidR="00700FC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="00700FCB">
        <w:rPr>
          <w:rFonts w:ascii="Times New Roman" w:eastAsia="Times New Roman" w:hAnsi="Times New Roman" w:cs="Times New Roman"/>
          <w:sz w:val="24"/>
          <w:szCs w:val="24"/>
          <w:lang w:val="fr-FR"/>
        </w:rPr>
        <w:t>Wenaokeao</w:t>
      </w:r>
      <w:proofErr w:type="spellEnd"/>
      <w:r w:rsidR="00700FC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r w:rsidR="006C71E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permettant d’observer simultanément avec </w:t>
      </w:r>
      <w:proofErr w:type="spellStart"/>
      <w:r w:rsidR="006C71E9">
        <w:rPr>
          <w:rFonts w:ascii="Times New Roman" w:eastAsia="Times New Roman" w:hAnsi="Times New Roman" w:cs="Times New Roman"/>
          <w:sz w:val="24"/>
          <w:szCs w:val="24"/>
          <w:lang w:val="fr-FR"/>
        </w:rPr>
        <w:t>ESPaDOnS</w:t>
      </w:r>
      <w:proofErr w:type="spellEnd"/>
      <w:r w:rsidR="006C71E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="006C71E9">
        <w:rPr>
          <w:rFonts w:ascii="Times New Roman" w:eastAsia="Times New Roman" w:hAnsi="Times New Roman" w:cs="Times New Roman"/>
          <w:sz w:val="24"/>
          <w:szCs w:val="24"/>
          <w:lang w:val="fr-FR"/>
        </w:rPr>
        <w:t>SPIRou</w:t>
      </w:r>
      <w:proofErr w:type="spellEnd"/>
      <w:r w:rsidR="006C71E9">
        <w:rPr>
          <w:rFonts w:ascii="Times New Roman" w:eastAsia="Times New Roman" w:hAnsi="Times New Roman" w:cs="Times New Roman"/>
          <w:sz w:val="24"/>
          <w:szCs w:val="24"/>
          <w:lang w:val="fr-FR"/>
        </w:rPr>
        <w:t>).</w:t>
      </w:r>
    </w:p>
    <w:p w14:paraId="7EB25721" w14:textId="00DB0DB6" w:rsidR="009744D2" w:rsidRDefault="009744D2" w:rsidP="00E5795E">
      <w:pPr>
        <w:pStyle w:val="ListParagraph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 programme </w:t>
      </w:r>
      <w:r w:rsidR="00B10F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d’envergure </w:t>
      </w:r>
      <w:r w:rsidR="008F216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jouvence du télescope et </w:t>
      </w:r>
      <w:r w:rsidR="00B10F15">
        <w:rPr>
          <w:rFonts w:ascii="Times New Roman" w:eastAsia="Times New Roman" w:hAnsi="Times New Roman" w:cs="Times New Roman"/>
          <w:sz w:val="24"/>
          <w:szCs w:val="24"/>
          <w:lang w:val="fr-FR"/>
        </w:rPr>
        <w:t>de sa coupole.</w:t>
      </w:r>
    </w:p>
    <w:p w14:paraId="17CFE1EA" w14:textId="39CB16EF" w:rsidR="00170197" w:rsidRPr="00482B6F" w:rsidRDefault="007264E9" w:rsidP="005841E7">
      <w:pPr>
        <w:pStyle w:val="ListParagraph"/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264E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définition et la mise en œuvre </w:t>
      </w:r>
      <w:r w:rsidR="002175F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initiale </w:t>
      </w:r>
      <w:r w:rsidRPr="007264E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d'un modèle d'astronomie communautaire, </w:t>
      </w:r>
      <w:r w:rsidR="00C21A33">
        <w:rPr>
          <w:rFonts w:ascii="Times New Roman" w:eastAsia="Times New Roman" w:hAnsi="Times New Roman" w:cs="Times New Roman"/>
          <w:sz w:val="24"/>
          <w:szCs w:val="24"/>
          <w:lang w:val="fr-FR"/>
        </w:rPr>
        <w:t>fond</w:t>
      </w:r>
      <w:r w:rsidRPr="007264E9">
        <w:rPr>
          <w:rFonts w:ascii="Times New Roman" w:eastAsia="Times New Roman" w:hAnsi="Times New Roman" w:cs="Times New Roman"/>
          <w:sz w:val="24"/>
          <w:szCs w:val="24"/>
          <w:lang w:val="fr-FR"/>
        </w:rPr>
        <w:t>é sur la réciprocité</w:t>
      </w:r>
      <w:r w:rsidR="00C21A33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7264E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entre le monde de l'astronomie et les populations locales, souvent autochtones, dont les terres abritent la plupart des grands observatoires de la profession.</w:t>
      </w:r>
    </w:p>
    <w:p w14:paraId="0EBFE943" w14:textId="2F98F522" w:rsidR="003F7ADF" w:rsidRDefault="003F7ADF" w:rsidP="00CE1A1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F7A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CFHT invite les </w:t>
      </w:r>
      <w:r w:rsidR="0015526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personnels </w:t>
      </w:r>
      <w:r w:rsidRPr="003F7A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chercheurs </w:t>
      </w:r>
      <w:r w:rsidR="00155262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3F7A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ingénieurs possédant une solide expérience dans </w:t>
      </w:r>
      <w:r w:rsidR="009B2C1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 moins un ou </w:t>
      </w:r>
      <w:r w:rsidRPr="003F7ADF">
        <w:rPr>
          <w:rFonts w:ascii="Times New Roman" w:eastAsia="Times New Roman" w:hAnsi="Times New Roman" w:cs="Times New Roman"/>
          <w:sz w:val="24"/>
          <w:szCs w:val="24"/>
          <w:lang w:val="fr-FR"/>
        </w:rPr>
        <w:t>plusieurs des domaines suivants à p</w:t>
      </w:r>
      <w:r w:rsidR="0045547C">
        <w:rPr>
          <w:rFonts w:ascii="Times New Roman" w:eastAsia="Times New Roman" w:hAnsi="Times New Roman" w:cs="Times New Roman"/>
          <w:sz w:val="24"/>
          <w:szCs w:val="24"/>
          <w:lang w:val="fr-FR"/>
        </w:rPr>
        <w:t>rop</w:t>
      </w:r>
      <w:r w:rsidRPr="003F7A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oser leur candidature : </w:t>
      </w:r>
      <w:r w:rsidR="0012762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opérations </w:t>
      </w:r>
      <w:r w:rsidR="00FB55B6">
        <w:rPr>
          <w:rFonts w:ascii="Times New Roman" w:eastAsia="Times New Roman" w:hAnsi="Times New Roman" w:cs="Times New Roman"/>
          <w:sz w:val="24"/>
          <w:szCs w:val="24"/>
          <w:lang w:val="fr-FR"/>
        </w:rPr>
        <w:t>scientifiques</w:t>
      </w:r>
      <w:r w:rsidR="00EF1CE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EF1CEC">
        <w:rPr>
          <w:rFonts w:ascii="Times New Roman" w:eastAsia="Times New Roman" w:hAnsi="Times New Roman" w:cs="Times New Roman"/>
          <w:sz w:val="24"/>
          <w:szCs w:val="24"/>
          <w:lang w:val="haw-US"/>
        </w:rPr>
        <w:t>;</w:t>
      </w:r>
      <w:r w:rsidR="00FB55B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F7A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gestion de grands </w:t>
      </w:r>
      <w:r w:rsidR="00155262">
        <w:rPr>
          <w:rFonts w:ascii="Times New Roman" w:eastAsia="Times New Roman" w:hAnsi="Times New Roman" w:cs="Times New Roman"/>
          <w:sz w:val="24"/>
          <w:szCs w:val="24"/>
          <w:lang w:val="fr-FR"/>
        </w:rPr>
        <w:t>relevés</w:t>
      </w:r>
      <w:r w:rsidR="00EF1CEC"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  <w:r w:rsidRPr="003F7A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conception</w:t>
      </w:r>
      <w:r w:rsidR="00FB55B6">
        <w:rPr>
          <w:rFonts w:ascii="Times New Roman" w:eastAsia="Times New Roman" w:hAnsi="Times New Roman" w:cs="Times New Roman"/>
          <w:sz w:val="24"/>
          <w:szCs w:val="24"/>
          <w:lang w:val="fr-FR"/>
        </w:rPr>
        <w:t>, dévelop</w:t>
      </w:r>
      <w:r w:rsidR="00EF1CEC">
        <w:rPr>
          <w:rFonts w:ascii="Times New Roman" w:eastAsia="Times New Roman" w:hAnsi="Times New Roman" w:cs="Times New Roman"/>
          <w:sz w:val="24"/>
          <w:szCs w:val="24"/>
          <w:lang w:val="fr-FR"/>
        </w:rPr>
        <w:t>pement et</w:t>
      </w:r>
      <w:r w:rsidR="00EF1CEC" w:rsidRPr="00EF1CEC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 w:rsidRPr="003F7A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ou </w:t>
      </w:r>
      <w:r w:rsidR="006847A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opérations </w:t>
      </w:r>
      <w:r w:rsidRPr="003F7ADF">
        <w:rPr>
          <w:rFonts w:ascii="Times New Roman" w:eastAsia="Times New Roman" w:hAnsi="Times New Roman" w:cs="Times New Roman"/>
          <w:sz w:val="24"/>
          <w:szCs w:val="24"/>
          <w:lang w:val="fr-FR"/>
        </w:rPr>
        <w:t>d'instruments</w:t>
      </w:r>
      <w:r w:rsidR="008A7336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="00D420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ou de leurs </w:t>
      </w:r>
      <w:r w:rsidRPr="003F7ADF">
        <w:rPr>
          <w:rFonts w:ascii="Times New Roman" w:eastAsia="Times New Roman" w:hAnsi="Times New Roman" w:cs="Times New Roman"/>
          <w:sz w:val="24"/>
          <w:szCs w:val="24"/>
          <w:lang w:val="fr-FR"/>
        </w:rPr>
        <w:t>logiciels.</w:t>
      </w:r>
    </w:p>
    <w:p w14:paraId="28193D6D" w14:textId="518117BA" w:rsidR="00CE1A17" w:rsidRDefault="00CE1A17" w:rsidP="00CE1A1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Les obligations de service seront définies en fonction du profil de la personne retenue et incluront </w:t>
      </w:r>
      <w:r w:rsidR="0015339F">
        <w:rPr>
          <w:rFonts w:ascii="Times New Roman" w:eastAsia="Times New Roman" w:hAnsi="Times New Roman" w:cs="Times New Roman"/>
          <w:sz w:val="24"/>
          <w:szCs w:val="24"/>
          <w:lang w:val="fr-FR"/>
        </w:rPr>
        <w:t>plusieurs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des activités suivantes : </w:t>
      </w:r>
    </w:p>
    <w:p w14:paraId="6B5651FE" w14:textId="67E42141" w:rsidR="00CE1A17" w:rsidRDefault="00CE1A17" w:rsidP="00CE1A17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La participation aux opérations scientifiques du TCFH, incluant la coordination des observations en mode queue, le soutien aux observations, la réduction des données et le support aux utilisateurs</w:t>
      </w:r>
      <w:r w:rsidR="005B283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B283C">
        <w:rPr>
          <w:rFonts w:ascii="Times New Roman" w:eastAsia="Times New Roman" w:hAnsi="Times New Roman" w:cs="Times New Roman"/>
          <w:sz w:val="24"/>
          <w:szCs w:val="24"/>
          <w:lang w:val="haw-US"/>
        </w:rPr>
        <w:t>;</w:t>
      </w:r>
    </w:p>
    <w:p w14:paraId="5A4C9110" w14:textId="1B427114" w:rsidR="00F21739" w:rsidRDefault="00F21739" w:rsidP="00CE1A17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La participation aux opérations scienti</w:t>
      </w:r>
      <w:r w:rsidR="006B423D">
        <w:rPr>
          <w:rFonts w:ascii="Times New Roman" w:eastAsia="Times New Roman" w:hAnsi="Times New Roman" w:cs="Times New Roman"/>
          <w:sz w:val="24"/>
          <w:szCs w:val="24"/>
          <w:lang w:val="fr-FR"/>
        </w:rPr>
        <w:t>fiques des grands relevés en préparation</w:t>
      </w:r>
      <w:r w:rsidR="005B283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B283C">
        <w:rPr>
          <w:rFonts w:ascii="Times New Roman" w:eastAsia="Times New Roman" w:hAnsi="Times New Roman" w:cs="Times New Roman"/>
          <w:sz w:val="24"/>
          <w:szCs w:val="24"/>
          <w:lang w:val="haw-US"/>
        </w:rPr>
        <w:t>;</w:t>
      </w:r>
    </w:p>
    <w:p w14:paraId="5AB490BF" w14:textId="1C04AE08" w:rsidR="006B423D" w:rsidRDefault="006B423D" w:rsidP="00CE1A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participation </w:t>
      </w:r>
      <w:r w:rsidR="00FD79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aux opérations techniques </w:t>
      </w:r>
      <w:r w:rsidR="00CE70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et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 programme de maintenance et de jouvence </w:t>
      </w:r>
      <w:r w:rsidR="00E12D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l’Observatoire </w:t>
      </w:r>
      <w:r w:rsidR="005B283C">
        <w:rPr>
          <w:rFonts w:ascii="Times New Roman" w:eastAsia="Times New Roman" w:hAnsi="Times New Roman" w:cs="Times New Roman"/>
          <w:sz w:val="24"/>
          <w:szCs w:val="24"/>
          <w:lang w:val="haw-US"/>
        </w:rPr>
        <w:t>;</w:t>
      </w:r>
    </w:p>
    <w:p w14:paraId="3938BA2E" w14:textId="05391F7C" w:rsidR="00E12D23" w:rsidRDefault="007E110D" w:rsidP="00CE1A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L’étude des contraintes </w:t>
      </w:r>
      <w:r w:rsidR="002A5683">
        <w:rPr>
          <w:rFonts w:ascii="Times New Roman" w:eastAsia="Times New Roman" w:hAnsi="Times New Roman" w:cs="Times New Roman"/>
          <w:sz w:val="24"/>
          <w:szCs w:val="24"/>
          <w:lang w:val="fr-FR"/>
        </w:rPr>
        <w:t>de réhabilitation du site pour des projets futurs</w:t>
      </w:r>
      <w:r w:rsidR="005B283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B283C">
        <w:rPr>
          <w:rFonts w:ascii="Times New Roman" w:eastAsia="Times New Roman" w:hAnsi="Times New Roman" w:cs="Times New Roman"/>
          <w:sz w:val="24"/>
          <w:szCs w:val="24"/>
          <w:lang w:val="haw-US"/>
        </w:rPr>
        <w:t>;</w:t>
      </w:r>
    </w:p>
    <w:p w14:paraId="7652EFE9" w14:textId="0610AB05" w:rsidR="003A28AD" w:rsidRPr="004E4F5E" w:rsidRDefault="00DD5232" w:rsidP="004E4F5E">
      <w:pPr>
        <w:pStyle w:val="ListParagraph"/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participation </w:t>
      </w:r>
      <w:r w:rsidR="00CE1A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aux actions de développement </w:t>
      </w:r>
      <w:r w:rsidR="00FD0856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="00FD0856" w:rsidRPr="00FD0856">
        <w:rPr>
          <w:rFonts w:ascii="Times New Roman" w:eastAsia="Times New Roman" w:hAnsi="Times New Roman" w:cs="Times New Roman"/>
          <w:sz w:val="24"/>
          <w:szCs w:val="24"/>
          <w:lang w:val="fr-FR"/>
        </w:rPr>
        <w:t>’</w:t>
      </w:r>
      <w:r w:rsidR="00FD085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 </w:t>
      </w:r>
      <w:r w:rsidR="00480A3C">
        <w:rPr>
          <w:rFonts w:ascii="Times New Roman" w:eastAsia="Times New Roman" w:hAnsi="Times New Roman" w:cs="Times New Roman"/>
          <w:sz w:val="24"/>
          <w:szCs w:val="24"/>
          <w:lang w:val="fr-FR"/>
        </w:rPr>
        <w:t>modèle d’astronomie communautaire</w:t>
      </w:r>
      <w:r w:rsidR="004E4F5E">
        <w:rPr>
          <w:rFonts w:ascii="Times New Roman" w:eastAsia="Times New Roman" w:hAnsi="Times New Roman" w:cs="Times New Roman"/>
          <w:sz w:val="24"/>
          <w:szCs w:val="24"/>
          <w:lang w:val="fr-FR"/>
        </w:rPr>
        <w:t>, incluant la participation aux activités de sensibilisation et de diffusion des connaissances.</w:t>
      </w:r>
    </w:p>
    <w:p w14:paraId="47A9B2B5" w14:textId="77777777" w:rsidR="009C4432" w:rsidRDefault="00990C6B" w:rsidP="009C443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Les personnes souhaitant candidater doivent être titulaires d'un poste de la fonction publique (ingénieurs ou chercheurs) et être mis</w:t>
      </w:r>
      <w:r w:rsidR="009F6484">
        <w:rPr>
          <w:rFonts w:ascii="Times New Roman" w:eastAsia="Times New Roman" w:hAnsi="Times New Roman" w:cs="Times New Roman"/>
          <w:sz w:val="24"/>
          <w:szCs w:val="24"/>
          <w:lang w:val="fr-FR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à disposition ou affecté</w:t>
      </w:r>
      <w:r w:rsidR="009F6484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 au TCFH par leur employeur. </w:t>
      </w:r>
      <w:r w:rsidR="00D7092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niveau de </w:t>
      </w:r>
      <w:r w:rsidR="00D4620A">
        <w:rPr>
          <w:rFonts w:ascii="Times New Roman" w:eastAsia="Times New Roman" w:hAnsi="Times New Roman" w:cs="Times New Roman"/>
          <w:sz w:val="24"/>
          <w:szCs w:val="24"/>
          <w:lang w:val="fr-FR"/>
        </w:rPr>
        <w:t>qualification</w:t>
      </w:r>
      <w:r w:rsidR="00D7092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requis est celui d’un diplôme d’ingénieur ou d'une thèse de doctorat. </w:t>
      </w:r>
      <w:r w:rsidR="00977CD6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mise à disposition du TCFH donne droit à des indemnités liées à l'expatriation. Les personnels non CNRS devront examiner avec leur employeur et avec le CNRS dans quelles conditions ils pourraient être mis à disposition ou affectés au TCFH.</w:t>
      </w:r>
      <w:r w:rsidR="00BB5E63" w:rsidRPr="00BB5E6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BB5E63">
        <w:rPr>
          <w:rFonts w:ascii="Times New Roman" w:eastAsia="Times New Roman" w:hAnsi="Times New Roman" w:cs="Times New Roman"/>
          <w:sz w:val="24"/>
          <w:szCs w:val="24"/>
          <w:lang w:val="fr-FR"/>
        </w:rPr>
        <w:t>L'activité des ingénieurs ou astronomes résidents fait l'objet d'une évaluation interne au TCFH qui est communiquée pour information aux employeurs ayant accordé la mise à disposition.</w:t>
      </w:r>
      <w:r w:rsidR="009C44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9C44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poste est ouvert à candidature pour une durée de trois ans, renouvelable une fois pour deux années supplémentaires. </w:t>
      </w:r>
    </w:p>
    <w:p w14:paraId="1EBF52C1" w14:textId="39D52BAB" w:rsidR="003A28AD" w:rsidRDefault="0028647E" w:rsidP="00E43A1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Les personnels chercheurs recrutés comme astronomes résidents </w:t>
      </w:r>
      <w:r w:rsidR="000A67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peuvent maintenir une activité de recherche personnelle et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disposent d’un budget de recherche. Les astronomes résidents ont également accès de manière compétitive à environ 10 nuits discrétionnaires par semestre.</w:t>
      </w:r>
    </w:p>
    <w:p w14:paraId="38FF5322" w14:textId="4F63ABC6" w:rsidR="003A28AD" w:rsidRDefault="0028647E" w:rsidP="003D49F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Les </w:t>
      </w:r>
      <w:r w:rsidR="002326D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personnes intéressées sont invitées </w:t>
      </w:r>
      <w:r w:rsidR="0089730B">
        <w:rPr>
          <w:rFonts w:ascii="Times New Roman" w:eastAsia="Times New Roman" w:hAnsi="Times New Roman" w:cs="Times New Roman"/>
          <w:sz w:val="24"/>
          <w:szCs w:val="24"/>
          <w:lang w:val="fr-FR"/>
        </w:rPr>
        <w:t>à prendre contact avec le directeur du CFHT et la directrice adjo</w:t>
      </w:r>
      <w:r w:rsidR="004D72DE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="0089730B">
        <w:rPr>
          <w:rFonts w:ascii="Times New Roman" w:eastAsia="Times New Roman" w:hAnsi="Times New Roman" w:cs="Times New Roman"/>
          <w:sz w:val="24"/>
          <w:szCs w:val="24"/>
          <w:lang w:val="fr-FR"/>
        </w:rPr>
        <w:t>nte scientifique Astronomie et Astrophysiqu</w:t>
      </w:r>
      <w:r w:rsidR="004D72DE">
        <w:rPr>
          <w:rFonts w:ascii="Times New Roman" w:eastAsia="Times New Roman" w:hAnsi="Times New Roman" w:cs="Times New Roman"/>
          <w:sz w:val="24"/>
          <w:szCs w:val="24"/>
          <w:lang w:val="fr-FR"/>
        </w:rPr>
        <w:t>e de l’INSU</w:t>
      </w:r>
      <w:r w:rsidR="006569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pour toute information complémentaire</w:t>
      </w:r>
      <w:r w:rsidR="004D72D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Les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dossiers de candidature sont à </w:t>
      </w:r>
      <w:r w:rsidR="008A7F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écrire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en anglais</w:t>
      </w:r>
      <w:r w:rsidR="008A7F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et doivent comprendre un</w:t>
      </w:r>
      <w:r w:rsidR="006569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lettre de motivation </w:t>
      </w:r>
      <w:r w:rsidR="000F0B30">
        <w:rPr>
          <w:rFonts w:ascii="Times New Roman" w:eastAsia="Times New Roman" w:hAnsi="Times New Roman" w:cs="Times New Roman"/>
          <w:sz w:val="24"/>
          <w:szCs w:val="24"/>
          <w:lang w:val="fr-FR"/>
        </w:rPr>
        <w:t>et un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curriculum vitae détaillé</w:t>
      </w:r>
      <w:r w:rsidR="000F0B30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0F0B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ainsi que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trois références professionnelles. La date de prise de fonction est prévue </w:t>
      </w:r>
      <w:r w:rsidR="000E670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 plus tard à l’été </w:t>
      </w:r>
      <w:r w:rsidR="00E96655">
        <w:rPr>
          <w:rFonts w:ascii="Times New Roman" w:eastAsia="Times New Roman" w:hAnsi="Times New Roman" w:cs="Times New Roman"/>
          <w:sz w:val="24"/>
          <w:szCs w:val="24"/>
          <w:lang w:val="fr-FR"/>
        </w:rPr>
        <w:t>2026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Les </w:t>
      </w:r>
      <w:r w:rsidR="00734975">
        <w:rPr>
          <w:rFonts w:ascii="Times New Roman" w:eastAsia="Times New Roman" w:hAnsi="Times New Roman" w:cs="Times New Roman"/>
          <w:sz w:val="24"/>
          <w:szCs w:val="24"/>
          <w:lang w:val="fr-FR"/>
        </w:rPr>
        <w:t>personnes retenues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devront subir un examen médical attestant de leur capacité à travailler à 4200 m d'altitude.</w:t>
      </w:r>
    </w:p>
    <w:p w14:paraId="3624FFB7" w14:textId="00E26544" w:rsidR="003A28AD" w:rsidRDefault="0028647E" w:rsidP="00BE79C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Dossier à adresser par courrier électronique avant le </w:t>
      </w:r>
      <w:r w:rsidR="00740EB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740EB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septembre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7532F" w14:paraId="4E56C8E8" w14:textId="77777777" w:rsidTr="00E7532F">
        <w:tc>
          <w:tcPr>
            <w:tcW w:w="4675" w:type="dxa"/>
          </w:tcPr>
          <w:p w14:paraId="438B09B5" w14:textId="7D45B14C" w:rsidR="00E7532F" w:rsidRDefault="00E7532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Jean-Gabriel Cuby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br/>
              <w:t xml:space="preserve">Directeur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Exécutif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br/>
              <w:t>Canada-France-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Hawai</w:t>
            </w:r>
            <w:r w:rsidRPr="00D86555">
              <w:rPr>
                <w:rStyle w:val="Strong"/>
                <w:lang w:val="fr-FR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Telescope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Corporation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br/>
              <w:t>Courrier électronique : director@cfht.hawaii.ed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</w:t>
            </w:r>
          </w:p>
        </w:tc>
        <w:tc>
          <w:tcPr>
            <w:tcW w:w="4675" w:type="dxa"/>
          </w:tcPr>
          <w:p w14:paraId="50CCEDF5" w14:textId="77777777" w:rsidR="00E7532F" w:rsidRDefault="00E7532F" w:rsidP="00E7532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Céline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Reylé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br/>
              <w:t>Directrice adjointe scientifique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br/>
              <w:t>Institut National des Sciences de l'Univers</w:t>
            </w:r>
            <w:r w:rsidRPr="002625D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CNRS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br/>
              <w:t xml:space="preserve">Courrier électronique : </w:t>
            </w:r>
            <w:hyperlink r:id="rId5" w:history="1">
              <w:r w:rsidRPr="006324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celine.reyle@cnrs.fr</w:t>
              </w:r>
            </w:hyperlink>
          </w:p>
          <w:p w14:paraId="48004B55" w14:textId="77777777" w:rsidR="00E7532F" w:rsidRDefault="00E7532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0E9D7C9F" w14:textId="4D953A1F" w:rsidR="003A28AD" w:rsidRDefault="003A28A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34F097B" w14:textId="77777777" w:rsidR="00036B67" w:rsidRPr="00F32246" w:rsidRDefault="00036B67" w:rsidP="002625D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aw-US"/>
        </w:rPr>
      </w:pPr>
    </w:p>
    <w:sectPr w:rsidR="00036B67" w:rsidRPr="00F32246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97936"/>
    <w:multiLevelType w:val="multilevel"/>
    <w:tmpl w:val="BDA4AC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3729E"/>
    <w:multiLevelType w:val="hybridMultilevel"/>
    <w:tmpl w:val="AF0C0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B2BB6"/>
    <w:multiLevelType w:val="multilevel"/>
    <w:tmpl w:val="3F98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82206337">
    <w:abstractNumId w:val="2"/>
  </w:num>
  <w:num w:numId="2" w16cid:durableId="2106925679">
    <w:abstractNumId w:val="0"/>
  </w:num>
  <w:num w:numId="3" w16cid:durableId="36687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AD"/>
    <w:rsid w:val="00027B28"/>
    <w:rsid w:val="00030B30"/>
    <w:rsid w:val="00031A74"/>
    <w:rsid w:val="00036B67"/>
    <w:rsid w:val="0004050E"/>
    <w:rsid w:val="0007385F"/>
    <w:rsid w:val="000938B0"/>
    <w:rsid w:val="000A6792"/>
    <w:rsid w:val="000A6E0A"/>
    <w:rsid w:val="000E0E2F"/>
    <w:rsid w:val="000E6708"/>
    <w:rsid w:val="000F0B30"/>
    <w:rsid w:val="00104409"/>
    <w:rsid w:val="00113824"/>
    <w:rsid w:val="0012762F"/>
    <w:rsid w:val="00131CDE"/>
    <w:rsid w:val="0015339F"/>
    <w:rsid w:val="00155262"/>
    <w:rsid w:val="00161FAD"/>
    <w:rsid w:val="00170197"/>
    <w:rsid w:val="001A479F"/>
    <w:rsid w:val="001E4B19"/>
    <w:rsid w:val="001E58F6"/>
    <w:rsid w:val="001F3F8E"/>
    <w:rsid w:val="00201F13"/>
    <w:rsid w:val="002175F6"/>
    <w:rsid w:val="002326DE"/>
    <w:rsid w:val="002625DE"/>
    <w:rsid w:val="00265F36"/>
    <w:rsid w:val="00284BCB"/>
    <w:rsid w:val="002861CC"/>
    <w:rsid w:val="0028647E"/>
    <w:rsid w:val="002A5683"/>
    <w:rsid w:val="002A5816"/>
    <w:rsid w:val="002B6FE5"/>
    <w:rsid w:val="002F27E2"/>
    <w:rsid w:val="002F77AF"/>
    <w:rsid w:val="0030120D"/>
    <w:rsid w:val="003328D0"/>
    <w:rsid w:val="003371DB"/>
    <w:rsid w:val="003757AE"/>
    <w:rsid w:val="003A1766"/>
    <w:rsid w:val="003A28AD"/>
    <w:rsid w:val="003C1C81"/>
    <w:rsid w:val="003D49F0"/>
    <w:rsid w:val="003D53CE"/>
    <w:rsid w:val="003E6B96"/>
    <w:rsid w:val="003F7ADF"/>
    <w:rsid w:val="0043323D"/>
    <w:rsid w:val="00437F14"/>
    <w:rsid w:val="0045547C"/>
    <w:rsid w:val="004807D3"/>
    <w:rsid w:val="00480A3C"/>
    <w:rsid w:val="00482B6F"/>
    <w:rsid w:val="0049047F"/>
    <w:rsid w:val="004C0160"/>
    <w:rsid w:val="004D040E"/>
    <w:rsid w:val="004D72DE"/>
    <w:rsid w:val="004E4F5E"/>
    <w:rsid w:val="004F4E0A"/>
    <w:rsid w:val="00501AF1"/>
    <w:rsid w:val="00504E73"/>
    <w:rsid w:val="005056BD"/>
    <w:rsid w:val="0051039F"/>
    <w:rsid w:val="005470B7"/>
    <w:rsid w:val="005612F8"/>
    <w:rsid w:val="00566796"/>
    <w:rsid w:val="0058346C"/>
    <w:rsid w:val="005841E7"/>
    <w:rsid w:val="005B283C"/>
    <w:rsid w:val="005D5DCE"/>
    <w:rsid w:val="005E5BBD"/>
    <w:rsid w:val="005E6751"/>
    <w:rsid w:val="0061409B"/>
    <w:rsid w:val="0063412C"/>
    <w:rsid w:val="006478B2"/>
    <w:rsid w:val="00656909"/>
    <w:rsid w:val="006664F8"/>
    <w:rsid w:val="006665C3"/>
    <w:rsid w:val="006847A3"/>
    <w:rsid w:val="006B229F"/>
    <w:rsid w:val="006B423D"/>
    <w:rsid w:val="006C71E9"/>
    <w:rsid w:val="006D4040"/>
    <w:rsid w:val="006E4E9F"/>
    <w:rsid w:val="00700FCB"/>
    <w:rsid w:val="007264E9"/>
    <w:rsid w:val="00734975"/>
    <w:rsid w:val="00740EB0"/>
    <w:rsid w:val="0074670C"/>
    <w:rsid w:val="00795A9E"/>
    <w:rsid w:val="007C6D80"/>
    <w:rsid w:val="007E110D"/>
    <w:rsid w:val="008209F3"/>
    <w:rsid w:val="008546BD"/>
    <w:rsid w:val="0086553F"/>
    <w:rsid w:val="00871FEC"/>
    <w:rsid w:val="0089730B"/>
    <w:rsid w:val="008A7336"/>
    <w:rsid w:val="008A7433"/>
    <w:rsid w:val="008A7F9D"/>
    <w:rsid w:val="008B6CEA"/>
    <w:rsid w:val="008F151D"/>
    <w:rsid w:val="008F2164"/>
    <w:rsid w:val="0091271B"/>
    <w:rsid w:val="00955E6C"/>
    <w:rsid w:val="00965F49"/>
    <w:rsid w:val="00966B73"/>
    <w:rsid w:val="009744D2"/>
    <w:rsid w:val="00976033"/>
    <w:rsid w:val="00977CD6"/>
    <w:rsid w:val="00990C6B"/>
    <w:rsid w:val="009947CB"/>
    <w:rsid w:val="009968FF"/>
    <w:rsid w:val="009A3D41"/>
    <w:rsid w:val="009B2C12"/>
    <w:rsid w:val="009C0A47"/>
    <w:rsid w:val="009C4432"/>
    <w:rsid w:val="009F1159"/>
    <w:rsid w:val="009F6484"/>
    <w:rsid w:val="00A10A29"/>
    <w:rsid w:val="00A242E9"/>
    <w:rsid w:val="00A474F2"/>
    <w:rsid w:val="00A741A7"/>
    <w:rsid w:val="00A776B5"/>
    <w:rsid w:val="00A82736"/>
    <w:rsid w:val="00A87622"/>
    <w:rsid w:val="00AE6FE7"/>
    <w:rsid w:val="00AF3B59"/>
    <w:rsid w:val="00AF5536"/>
    <w:rsid w:val="00B10F15"/>
    <w:rsid w:val="00B307DD"/>
    <w:rsid w:val="00B37690"/>
    <w:rsid w:val="00B45E5F"/>
    <w:rsid w:val="00B46FF1"/>
    <w:rsid w:val="00B50C40"/>
    <w:rsid w:val="00B67BC0"/>
    <w:rsid w:val="00B77C08"/>
    <w:rsid w:val="00B846CE"/>
    <w:rsid w:val="00BA4263"/>
    <w:rsid w:val="00BB5E63"/>
    <w:rsid w:val="00BE79C7"/>
    <w:rsid w:val="00C21A33"/>
    <w:rsid w:val="00C2729C"/>
    <w:rsid w:val="00C7096D"/>
    <w:rsid w:val="00C744C9"/>
    <w:rsid w:val="00CB0CD2"/>
    <w:rsid w:val="00CB1A19"/>
    <w:rsid w:val="00CB4E77"/>
    <w:rsid w:val="00CE1A17"/>
    <w:rsid w:val="00CE7023"/>
    <w:rsid w:val="00D34165"/>
    <w:rsid w:val="00D42017"/>
    <w:rsid w:val="00D4620A"/>
    <w:rsid w:val="00D562F5"/>
    <w:rsid w:val="00D7092D"/>
    <w:rsid w:val="00D74D4A"/>
    <w:rsid w:val="00D8208C"/>
    <w:rsid w:val="00D86555"/>
    <w:rsid w:val="00DD1453"/>
    <w:rsid w:val="00DD44B0"/>
    <w:rsid w:val="00DD5232"/>
    <w:rsid w:val="00DD73F8"/>
    <w:rsid w:val="00E0515D"/>
    <w:rsid w:val="00E12D23"/>
    <w:rsid w:val="00E27EB3"/>
    <w:rsid w:val="00E34FE0"/>
    <w:rsid w:val="00E43A14"/>
    <w:rsid w:val="00E50EE4"/>
    <w:rsid w:val="00E5795E"/>
    <w:rsid w:val="00E6087F"/>
    <w:rsid w:val="00E63B70"/>
    <w:rsid w:val="00E7532F"/>
    <w:rsid w:val="00E828F4"/>
    <w:rsid w:val="00E96655"/>
    <w:rsid w:val="00EA014B"/>
    <w:rsid w:val="00EA124F"/>
    <w:rsid w:val="00ED1C2D"/>
    <w:rsid w:val="00EF1CEC"/>
    <w:rsid w:val="00F21739"/>
    <w:rsid w:val="00F23A42"/>
    <w:rsid w:val="00F32246"/>
    <w:rsid w:val="00F558E2"/>
    <w:rsid w:val="00F5714E"/>
    <w:rsid w:val="00F753FA"/>
    <w:rsid w:val="00F95697"/>
    <w:rsid w:val="00FB55B6"/>
    <w:rsid w:val="00FD0856"/>
    <w:rsid w:val="00FD1B10"/>
    <w:rsid w:val="00FD790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B994"/>
  <w15:docId w15:val="{E8967868-1B20-48B2-992B-171CE274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71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273A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273A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273AE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997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3C089B"/>
  </w:style>
  <w:style w:type="paragraph" w:styleId="ListParagraph">
    <w:name w:val="List Paragraph"/>
    <w:basedOn w:val="Normal"/>
    <w:uiPriority w:val="34"/>
    <w:qFormat/>
    <w:rsid w:val="0081266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9273A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273AE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B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line.reyle@cn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Jean-Gabriel Cuby</dc:creator>
  <dc:description/>
  <cp:lastModifiedBy>Jean-Gabriel Cuby</cp:lastModifiedBy>
  <cp:revision>120</cp:revision>
  <dcterms:created xsi:type="dcterms:W3CDTF">2025-07-09T01:52:00Z</dcterms:created>
  <dcterms:modified xsi:type="dcterms:W3CDTF">2025-07-09T04:15:00Z</dcterms:modified>
  <dc:language>en-US</dc:language>
</cp:coreProperties>
</file>